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25A13ADB" w:rsidR="000E6C36" w:rsidRPr="006B3EED" w:rsidRDefault="000E6C36" w:rsidP="00401A6B">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39D857A9"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ВІСІМДЕСЯТ ПЕРША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760C206F" w:rsidR="000E6C36" w:rsidRPr="0061643F" w:rsidRDefault="000E6C36" w:rsidP="000E6C36">
      <w:pPr>
        <w:spacing w:after="0"/>
        <w:ind w:left="-426"/>
        <w:rPr>
          <w:rFonts w:ascii="Times New Roman" w:hAnsi="Times New Roman"/>
          <w:b/>
          <w:sz w:val="24"/>
          <w:szCs w:val="24"/>
        </w:rPr>
      </w:pPr>
      <w:r w:rsidRPr="0061643F">
        <w:rPr>
          <w:rFonts w:ascii="Times New Roman" w:hAnsi="Times New Roman"/>
          <w:b/>
          <w:sz w:val="24"/>
          <w:szCs w:val="24"/>
        </w:rPr>
        <w:t xml:space="preserve">       </w:t>
      </w:r>
      <w:r w:rsidR="00401A6B">
        <w:rPr>
          <w:rFonts w:ascii="Times New Roman" w:hAnsi="Times New Roman"/>
          <w:b/>
          <w:sz w:val="24"/>
          <w:szCs w:val="24"/>
        </w:rPr>
        <w:t>16</w:t>
      </w:r>
      <w:r w:rsidRPr="0061643F">
        <w:rPr>
          <w:rFonts w:ascii="Times New Roman" w:hAnsi="Times New Roman"/>
          <w:b/>
          <w:sz w:val="24"/>
          <w:szCs w:val="24"/>
        </w:rPr>
        <w:t xml:space="preserve">. </w:t>
      </w:r>
      <w:r w:rsidR="00401A6B">
        <w:rPr>
          <w:rFonts w:ascii="Times New Roman" w:hAnsi="Times New Roman"/>
          <w:b/>
          <w:sz w:val="24"/>
          <w:szCs w:val="24"/>
        </w:rPr>
        <w:t>09.</w:t>
      </w:r>
      <w:r w:rsidRPr="0061643F">
        <w:rPr>
          <w:rFonts w:ascii="Times New Roman" w:hAnsi="Times New Roman"/>
          <w:b/>
          <w:sz w:val="24"/>
          <w:szCs w:val="24"/>
        </w:rPr>
        <w:t xml:space="preserve"> 202</w:t>
      </w:r>
      <w:r w:rsidR="00F44B1D">
        <w:rPr>
          <w:rFonts w:ascii="Times New Roman" w:hAnsi="Times New Roman"/>
          <w:b/>
          <w:sz w:val="24"/>
          <w:szCs w:val="24"/>
        </w:rPr>
        <w:t>5</w:t>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Pr="0061643F">
        <w:rPr>
          <w:rFonts w:ascii="Times New Roman" w:hAnsi="Times New Roman"/>
          <w:b/>
          <w:sz w:val="24"/>
          <w:szCs w:val="24"/>
        </w:rPr>
        <w:t xml:space="preserve">   № </w:t>
      </w:r>
      <w:r w:rsidR="00401A6B">
        <w:rPr>
          <w:rFonts w:ascii="Times New Roman" w:hAnsi="Times New Roman"/>
          <w:b/>
          <w:sz w:val="24"/>
          <w:szCs w:val="24"/>
        </w:rPr>
        <w:t>5772</w:t>
      </w:r>
      <w:r w:rsidR="00E32F1B" w:rsidRPr="00E32F1B">
        <w:rPr>
          <w:rFonts w:ascii="Times New Roman" w:hAnsi="Times New Roman"/>
          <w:b/>
          <w:sz w:val="24"/>
          <w:szCs w:val="24"/>
        </w:rPr>
        <w:t>-</w:t>
      </w:r>
      <w:r w:rsidR="00FB3124">
        <w:rPr>
          <w:rFonts w:ascii="Times New Roman" w:hAnsi="Times New Roman"/>
          <w:b/>
          <w:sz w:val="24"/>
          <w:szCs w:val="24"/>
        </w:rPr>
        <w:t>81</w:t>
      </w:r>
      <w:r w:rsidR="00E32F1B" w:rsidRPr="00E32F1B">
        <w:rPr>
          <w:rFonts w:ascii="Times New Roman" w:hAnsi="Times New Roman"/>
          <w:b/>
          <w:sz w:val="24"/>
          <w:szCs w:val="24"/>
        </w:rPr>
        <w:t>-VIІІ</w:t>
      </w:r>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0"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1"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0"/>
    <w:bookmarkEnd w:id="1"/>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70BD7200" w:rsidR="000E6C36" w:rsidRPr="0061643F" w:rsidRDefault="000E6C36" w:rsidP="0001290E">
      <w:pPr>
        <w:spacing w:after="0"/>
        <w:ind w:firstLine="708"/>
        <w:jc w:val="both"/>
        <w:rPr>
          <w:rFonts w:ascii="Times New Roman" w:hAnsi="Times New Roman"/>
          <w:sz w:val="24"/>
          <w:szCs w:val="24"/>
        </w:rPr>
      </w:pPr>
      <w:bookmarkStart w:id="2"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00401A6B">
        <w:rPr>
          <w:rFonts w:ascii="Times New Roman" w:hAnsi="Times New Roman"/>
          <w:sz w:val="24"/>
          <w:szCs w:val="24"/>
        </w:rPr>
        <w:t>Щипакіної</w:t>
      </w:r>
      <w:proofErr w:type="spellEnd"/>
      <w:r w:rsidR="00401A6B">
        <w:rPr>
          <w:rFonts w:ascii="Times New Roman" w:hAnsi="Times New Roman"/>
          <w:sz w:val="24"/>
          <w:szCs w:val="24"/>
        </w:rPr>
        <w:t xml:space="preserve"> Д. І.</w:t>
      </w:r>
      <w:r w:rsidRPr="0061643F">
        <w:rPr>
          <w:rFonts w:ascii="Times New Roman" w:hAnsi="Times New Roman"/>
          <w:sz w:val="24"/>
          <w:szCs w:val="24"/>
        </w:rPr>
        <w:t xml:space="preserve">,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2"/>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289D3598" w:rsidR="000E6C36" w:rsidRPr="0061643F" w:rsidRDefault="000104BF" w:rsidP="000E6C36">
      <w:pPr>
        <w:spacing w:after="0"/>
        <w:jc w:val="both"/>
        <w:rPr>
          <w:rFonts w:ascii="Times New Roman" w:hAnsi="Times New Roman"/>
          <w:b/>
          <w:sz w:val="24"/>
          <w:szCs w:val="24"/>
          <w:lang w:val="ru-RU"/>
        </w:rPr>
      </w:pPr>
      <w:r>
        <w:rPr>
          <w:rFonts w:ascii="Times New Roman" w:hAnsi="Times New Roman"/>
          <w:b/>
          <w:sz w:val="24"/>
          <w:szCs w:val="24"/>
        </w:rPr>
        <w:t>Секретар ради</w:t>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Pr>
          <w:rFonts w:ascii="Times New Roman" w:hAnsi="Times New Roman"/>
          <w:b/>
          <w:sz w:val="24"/>
          <w:szCs w:val="24"/>
        </w:rPr>
        <w:t>Тарас</w:t>
      </w:r>
      <w:r w:rsidR="00BB60D1">
        <w:rPr>
          <w:rFonts w:ascii="Times New Roman" w:hAnsi="Times New Roman"/>
          <w:b/>
          <w:sz w:val="24"/>
          <w:szCs w:val="24"/>
        </w:rPr>
        <w:t xml:space="preserve"> </w:t>
      </w:r>
      <w:r>
        <w:rPr>
          <w:rFonts w:ascii="Times New Roman" w:hAnsi="Times New Roman"/>
          <w:b/>
          <w:sz w:val="24"/>
          <w:szCs w:val="24"/>
        </w:rPr>
        <w:t>ШАПРАВСЬКИЙ</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4766B34E"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0104BF">
              <w:rPr>
                <w:rFonts w:ascii="Times New Roman" w:hAnsi="Times New Roman"/>
                <w:sz w:val="24"/>
                <w:szCs w:val="24"/>
                <w:lang w:eastAsia="uk-UA"/>
              </w:rPr>
              <w:t xml:space="preserve">к </w:t>
            </w:r>
            <w:r>
              <w:rPr>
                <w:rFonts w:ascii="Times New Roman" w:hAnsi="Times New Roman"/>
                <w:sz w:val="24"/>
                <w:szCs w:val="24"/>
                <w:lang w:eastAsia="uk-UA"/>
              </w:rPr>
              <w:t>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7C5A52F4" w:rsidR="00B45AF9" w:rsidRPr="006B3EED" w:rsidRDefault="003E4018"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3A8723DE" w14:textId="21DCF868" w:rsidR="00B45AF9" w:rsidRPr="00F14CCB" w:rsidRDefault="000104BF"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Дмитро ЧЕЙЧУК</w:t>
            </w:r>
          </w:p>
        </w:tc>
      </w:tr>
      <w:tr w:rsidR="000E6C36" w:rsidRPr="006B3EED" w14:paraId="40C193A4" w14:textId="77777777" w:rsidTr="00F14CCB">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24B153D8" w:rsidR="000E6C36" w:rsidRPr="00F14CCB" w:rsidRDefault="003E4018"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14CFE6F3" w:rsidR="000E6C36" w:rsidRPr="00F14CCB" w:rsidRDefault="003E4018"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5DB3744C" w:rsidR="000E6C36" w:rsidRPr="006B3EED" w:rsidRDefault="003E4018"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42148C95" w:rsidR="000E6C36" w:rsidRPr="006B3EED" w:rsidRDefault="000104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29DFC3C8" w14:textId="77777777" w:rsidR="003E4018" w:rsidRPr="00192AD2" w:rsidRDefault="003E4018"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16. 09.</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EB4F140" w14:textId="488177DA" w:rsidR="000E6C36" w:rsidRPr="00B45AF9" w:rsidRDefault="000E6C36" w:rsidP="00B45AF9">
            <w:pPr>
              <w:widowControl w:val="0"/>
              <w:tabs>
                <w:tab w:val="left" w:pos="0"/>
              </w:tabs>
              <w:spacing w:line="276" w:lineRule="auto"/>
              <w:jc w:val="center"/>
              <w:rPr>
                <w:rFonts w:ascii="Times New Roman" w:hAnsi="Times New Roman"/>
                <w:sz w:val="24"/>
                <w:szCs w:val="24"/>
                <w:lang w:eastAsia="uk-UA"/>
              </w:rPr>
            </w:pP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0D1945C0" w:rsidR="000E6C36" w:rsidRPr="006B3EED" w:rsidRDefault="000104BF"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Додаток</w:t>
      </w:r>
    </w:p>
    <w:p w14:paraId="0B4CE92A" w14:textId="4C0BB3BF"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0104BF">
        <w:rPr>
          <w:rFonts w:ascii="Times New Roman" w:hAnsi="Times New Roman"/>
          <w:color w:val="000000"/>
          <w:sz w:val="24"/>
          <w:szCs w:val="24"/>
          <w:lang w:eastAsia="uk-UA"/>
        </w:rPr>
        <w:t>5772</w:t>
      </w:r>
      <w:r w:rsidR="00E32F1B" w:rsidRPr="00E32F1B">
        <w:rPr>
          <w:rFonts w:ascii="Times New Roman" w:hAnsi="Times New Roman"/>
          <w:color w:val="000000"/>
          <w:sz w:val="24"/>
          <w:szCs w:val="24"/>
          <w:lang w:eastAsia="uk-UA"/>
        </w:rPr>
        <w:t>-</w:t>
      </w:r>
      <w:r w:rsidR="00805AAA">
        <w:rPr>
          <w:rFonts w:ascii="Times New Roman" w:hAnsi="Times New Roman"/>
          <w:color w:val="000000"/>
          <w:sz w:val="24"/>
          <w:szCs w:val="24"/>
          <w:lang w:eastAsia="uk-UA"/>
        </w:rPr>
        <w:t>81</w:t>
      </w:r>
      <w:r w:rsidR="00E32F1B" w:rsidRPr="00E32F1B">
        <w:rPr>
          <w:rFonts w:ascii="Times New Roman" w:hAnsi="Times New Roman"/>
          <w:color w:val="000000"/>
          <w:sz w:val="24"/>
          <w:szCs w:val="24"/>
          <w:lang w:eastAsia="uk-UA"/>
        </w:rPr>
        <w:t>-VIІІ</w:t>
      </w:r>
    </w:p>
    <w:p w14:paraId="2099998C" w14:textId="344EC551"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Бучанської міської ради  </w:t>
      </w:r>
    </w:p>
    <w:p w14:paraId="3FA4468F" w14:textId="271B398D"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0104BF">
        <w:rPr>
          <w:rFonts w:ascii="Times New Roman" w:hAnsi="Times New Roman"/>
          <w:color w:val="000000"/>
          <w:sz w:val="24"/>
          <w:szCs w:val="24"/>
          <w:lang w:eastAsia="uk-UA"/>
        </w:rPr>
        <w:t>16</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0104BF">
        <w:rPr>
          <w:rFonts w:ascii="Times New Roman" w:hAnsi="Times New Roman"/>
          <w:color w:val="000000"/>
          <w:sz w:val="24"/>
          <w:szCs w:val="24"/>
          <w:lang w:eastAsia="uk-UA"/>
        </w:rPr>
        <w:t>09</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1309EDB5" w:rsidR="000F04A6" w:rsidRPr="005620FD" w:rsidRDefault="00C94106">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55</w:t>
            </w:r>
            <w:r w:rsidR="00A117DE">
              <w:rPr>
                <w:rFonts w:ascii="Times New Roman" w:eastAsiaTheme="minorHAnsi" w:hAnsi="Times New Roman"/>
                <w:b/>
                <w:bCs/>
                <w:sz w:val="24"/>
                <w:szCs w:val="24"/>
              </w:rPr>
              <w:t>65</w:t>
            </w:r>
            <w:r w:rsidR="000F04A6" w:rsidRPr="005620FD">
              <w:rPr>
                <w:rFonts w:ascii="Times New Roman" w:eastAsiaTheme="minorHAnsi" w:hAnsi="Times New Roman"/>
                <w:b/>
                <w:bCs/>
                <w:sz w:val="24"/>
                <w:szCs w:val="24"/>
              </w:rPr>
              <w:t>,</w:t>
            </w:r>
            <w:r w:rsidR="00A117DE">
              <w:rPr>
                <w:rFonts w:ascii="Times New Roman" w:eastAsiaTheme="minorHAnsi" w:hAnsi="Times New Roman"/>
                <w:b/>
                <w:bCs/>
                <w:sz w:val="24"/>
                <w:szCs w:val="24"/>
              </w:rPr>
              <w:t>8</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w:t>
            </w:r>
            <w:r w:rsidRPr="005620FD">
              <w:rPr>
                <w:rFonts w:ascii="Times New Roman" w:hAnsi="Times New Roman"/>
                <w:color w:val="000000"/>
                <w:sz w:val="24"/>
                <w:szCs w:val="24"/>
                <w:lang w:eastAsia="uk-UA"/>
              </w:rPr>
              <w:lastRenderedPageBreak/>
              <w:t>та руховою активністю в 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w:t>
      </w:r>
      <w:r w:rsidRPr="005620FD">
        <w:rPr>
          <w:rFonts w:ascii="Times New Roman" w:hAnsi="Times New Roman"/>
          <w:noProof/>
          <w:color w:val="000000"/>
          <w:sz w:val="24"/>
          <w:szCs w:val="24"/>
        </w:rPr>
        <w:lastRenderedPageBreak/>
        <w:t xml:space="preserve">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w:t>
      </w:r>
      <w:r w:rsidRPr="005620FD">
        <w:rPr>
          <w:rFonts w:ascii="Times New Roman" w:hAnsi="Times New Roman"/>
          <w:noProof/>
          <w:sz w:val="24"/>
          <w:szCs w:val="24"/>
        </w:rPr>
        <w:lastRenderedPageBreak/>
        <w:t xml:space="preserve">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272E3E4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DF54D2">
              <w:rPr>
                <w:rFonts w:ascii="Times New Roman" w:hAnsi="Times New Roman"/>
                <w:b/>
                <w:bCs/>
                <w:noProof/>
                <w:color w:val="000000"/>
                <w:sz w:val="20"/>
                <w:szCs w:val="20"/>
                <w:lang w:val="ru-RU"/>
              </w:rPr>
              <w:t>3</w:t>
            </w:r>
            <w:r w:rsidR="002F6387">
              <w:rPr>
                <w:rFonts w:ascii="Times New Roman" w:hAnsi="Times New Roman"/>
                <w:b/>
                <w:bCs/>
                <w:noProof/>
                <w:color w:val="000000"/>
                <w:sz w:val="20"/>
                <w:szCs w:val="20"/>
                <w:lang w:val="ru-RU"/>
              </w:rPr>
              <w:t>63</w:t>
            </w:r>
            <w:r w:rsidR="00151E6C">
              <w:rPr>
                <w:rFonts w:ascii="Times New Roman" w:hAnsi="Times New Roman"/>
                <w:b/>
                <w:bCs/>
                <w:noProof/>
                <w:color w:val="000000"/>
                <w:sz w:val="20"/>
                <w:szCs w:val="20"/>
                <w:lang w:val="ru-RU"/>
              </w:rPr>
              <w:t>,</w:t>
            </w:r>
            <w:r w:rsidR="002F6387">
              <w:rPr>
                <w:rFonts w:ascii="Times New Roman" w:hAnsi="Times New Roman"/>
                <w:b/>
                <w:bCs/>
                <w:noProof/>
                <w:color w:val="000000"/>
                <w:sz w:val="20"/>
                <w:szCs w:val="20"/>
                <w:lang w:val="ru-RU"/>
              </w:rPr>
              <w:t>3</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0B0F45AD" w:rsidR="000F04A6" w:rsidRPr="00AF0089" w:rsidRDefault="002F6387">
            <w:pPr>
              <w:jc w:val="center"/>
              <w:rPr>
                <w:rFonts w:ascii="Times New Roman" w:eastAsiaTheme="minorHAnsi" w:hAnsi="Times New Roman"/>
                <w:sz w:val="20"/>
                <w:szCs w:val="20"/>
              </w:rPr>
            </w:pPr>
            <w:r>
              <w:rPr>
                <w:rFonts w:ascii="Times New Roman" w:eastAsiaTheme="minorHAnsi" w:hAnsi="Times New Roman"/>
                <w:sz w:val="20"/>
                <w:szCs w:val="20"/>
              </w:rPr>
              <w:t>105</w:t>
            </w:r>
            <w:r w:rsidR="00846650"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установи 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Проведення спортивно-патріотичних заходів до 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ГО, СК сфери 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Зміцнення патріотичного світогляду населення громади та 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0187F075"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2B2BCB">
              <w:rPr>
                <w:rFonts w:ascii="Times New Roman" w:hAnsi="Times New Roman"/>
                <w:b/>
                <w:bCs/>
                <w:noProof/>
                <w:color w:val="000000"/>
                <w:sz w:val="20"/>
                <w:szCs w:val="20"/>
                <w:lang w:val="ru-RU" w:eastAsia="uk-UA"/>
              </w:rPr>
              <w:t>4</w:t>
            </w:r>
            <w:r w:rsidR="009830D0">
              <w:rPr>
                <w:rFonts w:ascii="Times New Roman" w:hAnsi="Times New Roman"/>
                <w:b/>
                <w:bCs/>
                <w:noProof/>
                <w:color w:val="000000"/>
                <w:sz w:val="20"/>
                <w:szCs w:val="20"/>
                <w:lang w:val="ru-RU" w:eastAsia="uk-UA"/>
              </w:rPr>
              <w:t>84</w:t>
            </w:r>
            <w:r w:rsidR="005471DE">
              <w:rPr>
                <w:rFonts w:ascii="Times New Roman" w:hAnsi="Times New Roman"/>
                <w:b/>
                <w:bCs/>
                <w:noProof/>
                <w:color w:val="000000"/>
                <w:sz w:val="20"/>
                <w:szCs w:val="20"/>
                <w:lang w:val="ru-RU" w:eastAsia="uk-UA"/>
              </w:rPr>
              <w:t>,</w:t>
            </w:r>
            <w:r w:rsidR="009830D0">
              <w:rPr>
                <w:rFonts w:ascii="Times New Roman" w:hAnsi="Times New Roman"/>
                <w:b/>
                <w:bCs/>
                <w:noProof/>
                <w:color w:val="000000"/>
                <w:sz w:val="20"/>
                <w:szCs w:val="20"/>
                <w:lang w:val="ru-RU" w:eastAsia="uk-UA"/>
              </w:rPr>
              <w:t>2</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7A0AE3" w14:paraId="333695C1" w14:textId="77777777" w:rsidTr="00320FD9">
        <w:trPr>
          <w:gridAfter w:val="1"/>
          <w:wAfter w:w="9" w:type="dxa"/>
          <w:trHeight w:val="510"/>
        </w:trPr>
        <w:tc>
          <w:tcPr>
            <w:tcW w:w="255" w:type="dxa"/>
            <w:vMerge w:val="restart"/>
            <w:tcBorders>
              <w:top w:val="single" w:sz="4" w:space="0" w:color="auto"/>
              <w:left w:val="single" w:sz="4" w:space="0" w:color="auto"/>
              <w:right w:val="single" w:sz="4" w:space="0" w:color="auto"/>
            </w:tcBorders>
            <w:hideMark/>
          </w:tcPr>
          <w:p w14:paraId="4DE917B4" w14:textId="77777777" w:rsidR="007A0AE3" w:rsidRDefault="007A0AE3"/>
        </w:tc>
        <w:tc>
          <w:tcPr>
            <w:tcW w:w="1560" w:type="dxa"/>
            <w:vMerge w:val="restart"/>
            <w:tcBorders>
              <w:top w:val="single" w:sz="4" w:space="0" w:color="auto"/>
              <w:left w:val="single" w:sz="4" w:space="0" w:color="auto"/>
              <w:right w:val="single" w:sz="4" w:space="0" w:color="auto"/>
            </w:tcBorders>
            <w:vAlign w:val="center"/>
          </w:tcPr>
          <w:p w14:paraId="023F45D6" w14:textId="77777777" w:rsidR="007A0AE3" w:rsidRDefault="007A0AE3">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5066D65E" w14:textId="26984AA6" w:rsidR="007A0AE3" w:rsidRDefault="007A0AE3">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«Всеукраїнський забіг «Шаную Воїнів, біжу за Героїв України»</w:t>
            </w:r>
            <w:r>
              <w:rPr>
                <w:rFonts w:ascii="Times New Roman" w:hAnsi="Times New Roman"/>
                <w:noProof/>
                <w:color w:val="000000"/>
                <w:sz w:val="20"/>
                <w:szCs w:val="20"/>
                <w:lang w:eastAsia="uk-UA"/>
              </w:rPr>
              <w:t xml:space="preserve"> </w:t>
            </w:r>
          </w:p>
        </w:tc>
        <w:tc>
          <w:tcPr>
            <w:tcW w:w="709" w:type="dxa"/>
            <w:gridSpan w:val="2"/>
            <w:vMerge w:val="restart"/>
            <w:tcBorders>
              <w:top w:val="single" w:sz="4" w:space="0" w:color="auto"/>
              <w:left w:val="single" w:sz="4" w:space="0" w:color="auto"/>
              <w:right w:val="single" w:sz="4" w:space="0" w:color="auto"/>
            </w:tcBorders>
            <w:vAlign w:val="center"/>
            <w:hideMark/>
          </w:tcPr>
          <w:p w14:paraId="143AB3C3"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hideMark/>
          </w:tcPr>
          <w:p w14:paraId="2B0F01A1" w14:textId="77777777" w:rsidR="007A0AE3" w:rsidRDefault="007A0AE3">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7A0AE3" w:rsidRPr="00A62DFE" w:rsidRDefault="007A0AE3">
            <w:pPr>
              <w:rPr>
                <w:rFonts w:ascii="Times New Roman" w:eastAsiaTheme="minorHAnsi" w:hAnsi="Times New Roman"/>
                <w:sz w:val="20"/>
                <w:szCs w:val="20"/>
              </w:rPr>
            </w:pPr>
            <w:r w:rsidRPr="00A62DFE">
              <w:rPr>
                <w:rFonts w:ascii="Times New Roman" w:eastAsiaTheme="minorHAnsi" w:hAnsi="Times New Roman"/>
                <w:sz w:val="20"/>
                <w:szCs w:val="20"/>
              </w:rPr>
              <w:t>3,8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54AC217C" w:rsidR="007A0AE3" w:rsidRPr="00AF0089" w:rsidRDefault="007A0AE3">
            <w:pPr>
              <w:rPr>
                <w:rFonts w:ascii="Times New Roman" w:eastAsiaTheme="minorHAnsi" w:hAnsi="Times New Roman"/>
                <w:sz w:val="20"/>
                <w:szCs w:val="20"/>
              </w:rPr>
            </w:pPr>
            <w:r>
              <w:rPr>
                <w:rFonts w:ascii="Times New Roman" w:eastAsiaTheme="minorHAnsi" w:hAnsi="Times New Roman"/>
                <w:sz w:val="20"/>
                <w:szCs w:val="20"/>
              </w:rPr>
              <w:t>295</w:t>
            </w:r>
            <w:r w:rsidRPr="00AF0089">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7A0AE3" w:rsidRDefault="007A0AE3">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7A0AE3" w:rsidRDefault="007A0AE3">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7A0AE3" w:rsidRDefault="007A0AE3">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7A0AE3" w14:paraId="2934E4EB" w14:textId="77777777" w:rsidTr="00320FD9">
        <w:trPr>
          <w:gridAfter w:val="1"/>
          <w:wAfter w:w="9" w:type="dxa"/>
          <w:trHeight w:val="270"/>
        </w:trPr>
        <w:tc>
          <w:tcPr>
            <w:tcW w:w="255" w:type="dxa"/>
            <w:vMerge/>
            <w:tcBorders>
              <w:left w:val="single" w:sz="4" w:space="0" w:color="auto"/>
              <w:right w:val="single" w:sz="4" w:space="0" w:color="auto"/>
            </w:tcBorders>
            <w:vAlign w:val="center"/>
            <w:hideMark/>
          </w:tcPr>
          <w:p w14:paraId="501BCA08" w14:textId="77777777" w:rsidR="007A0AE3" w:rsidRDefault="007A0AE3"/>
        </w:tc>
        <w:tc>
          <w:tcPr>
            <w:tcW w:w="1560" w:type="dxa"/>
            <w:vMerge/>
            <w:tcBorders>
              <w:left w:val="single" w:sz="4" w:space="0" w:color="auto"/>
              <w:right w:val="single" w:sz="4" w:space="0" w:color="auto"/>
            </w:tcBorders>
            <w:vAlign w:val="center"/>
            <w:hideMark/>
          </w:tcPr>
          <w:p w14:paraId="5522623B"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231F5CA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0532701A"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B034B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7A0AE3" w:rsidRDefault="007A0AE3">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7A0AE3" w:rsidRDefault="007A0AE3">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7A0AE3" w:rsidRDefault="007A0AE3">
            <w:pPr>
              <w:rPr>
                <w:rFonts w:ascii="Times New Roman" w:eastAsiaTheme="minorHAnsi" w:hAnsi="Times New Roman"/>
                <w:sz w:val="20"/>
                <w:szCs w:val="20"/>
              </w:rPr>
            </w:pPr>
          </w:p>
        </w:tc>
      </w:tr>
      <w:tr w:rsidR="007A0AE3" w14:paraId="074569FE" w14:textId="77777777" w:rsidTr="00320FD9">
        <w:trPr>
          <w:gridAfter w:val="1"/>
          <w:wAfter w:w="9" w:type="dxa"/>
          <w:trHeight w:val="657"/>
        </w:trPr>
        <w:tc>
          <w:tcPr>
            <w:tcW w:w="255" w:type="dxa"/>
            <w:vMerge/>
            <w:tcBorders>
              <w:left w:val="single" w:sz="4" w:space="0" w:color="auto"/>
              <w:right w:val="single" w:sz="4" w:space="0" w:color="auto"/>
            </w:tcBorders>
            <w:vAlign w:val="center"/>
            <w:hideMark/>
          </w:tcPr>
          <w:p w14:paraId="6D3ED074" w14:textId="77777777" w:rsidR="007A0AE3" w:rsidRDefault="007A0AE3"/>
        </w:tc>
        <w:tc>
          <w:tcPr>
            <w:tcW w:w="1560" w:type="dxa"/>
            <w:vMerge/>
            <w:tcBorders>
              <w:left w:val="single" w:sz="4" w:space="0" w:color="auto"/>
              <w:right w:val="single" w:sz="4" w:space="0" w:color="auto"/>
            </w:tcBorders>
            <w:vAlign w:val="center"/>
            <w:hideMark/>
          </w:tcPr>
          <w:p w14:paraId="1DCFDE1D"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4A88CEA2"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7D6BFD5B"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2E38A77"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7A0AE3" w:rsidRDefault="007A0AE3">
            <w:pPr>
              <w:rPr>
                <w:rFonts w:ascii="Times New Roman" w:eastAsiaTheme="minorHAnsi" w:hAnsi="Times New Roman"/>
                <w:sz w:val="20"/>
                <w:szCs w:val="20"/>
              </w:rPr>
            </w:pPr>
          </w:p>
        </w:tc>
      </w:tr>
      <w:tr w:rsidR="007A0AE3" w14:paraId="0E8B07A2" w14:textId="77777777" w:rsidTr="00320FD9">
        <w:trPr>
          <w:gridAfter w:val="1"/>
          <w:wAfter w:w="9" w:type="dxa"/>
          <w:trHeight w:val="699"/>
        </w:trPr>
        <w:tc>
          <w:tcPr>
            <w:tcW w:w="255" w:type="dxa"/>
            <w:vMerge/>
            <w:tcBorders>
              <w:left w:val="single" w:sz="4" w:space="0" w:color="auto"/>
              <w:right w:val="single" w:sz="4" w:space="0" w:color="auto"/>
            </w:tcBorders>
            <w:vAlign w:val="center"/>
            <w:hideMark/>
          </w:tcPr>
          <w:p w14:paraId="0CFFE5E8" w14:textId="77777777" w:rsidR="007A0AE3" w:rsidRDefault="007A0AE3"/>
        </w:tc>
        <w:tc>
          <w:tcPr>
            <w:tcW w:w="1560" w:type="dxa"/>
            <w:vMerge/>
            <w:tcBorders>
              <w:left w:val="single" w:sz="4" w:space="0" w:color="auto"/>
              <w:right w:val="single" w:sz="4" w:space="0" w:color="auto"/>
            </w:tcBorders>
            <w:vAlign w:val="center"/>
            <w:hideMark/>
          </w:tcPr>
          <w:p w14:paraId="5023A456"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26453C8"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DEEDFA5"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0069B6E"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7A0AE3" w:rsidRDefault="007A0AE3">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7A0AE3" w:rsidRDefault="007A0AE3">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7A0AE3" w:rsidRDefault="007A0AE3">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7A0AE3" w:rsidRDefault="007A0AE3">
            <w:pPr>
              <w:rPr>
                <w:rFonts w:ascii="Times New Roman" w:eastAsiaTheme="minorHAnsi" w:hAnsi="Times New Roman"/>
                <w:sz w:val="20"/>
                <w:szCs w:val="20"/>
              </w:rPr>
            </w:pPr>
          </w:p>
        </w:tc>
      </w:tr>
      <w:tr w:rsidR="007A0AE3" w14:paraId="450397CC" w14:textId="77777777" w:rsidTr="00320FD9">
        <w:trPr>
          <w:gridAfter w:val="1"/>
          <w:wAfter w:w="9" w:type="dxa"/>
          <w:trHeight w:val="699"/>
        </w:trPr>
        <w:tc>
          <w:tcPr>
            <w:tcW w:w="255" w:type="dxa"/>
            <w:vMerge/>
            <w:tcBorders>
              <w:left w:val="single" w:sz="4" w:space="0" w:color="auto"/>
              <w:bottom w:val="single" w:sz="4" w:space="0" w:color="auto"/>
              <w:right w:val="single" w:sz="4" w:space="0" w:color="auto"/>
            </w:tcBorders>
            <w:vAlign w:val="center"/>
          </w:tcPr>
          <w:p w14:paraId="05B6BD24" w14:textId="77777777" w:rsidR="007A0AE3" w:rsidRDefault="007A0AE3"/>
        </w:tc>
        <w:tc>
          <w:tcPr>
            <w:tcW w:w="1560" w:type="dxa"/>
            <w:vMerge/>
            <w:tcBorders>
              <w:left w:val="single" w:sz="4" w:space="0" w:color="auto"/>
              <w:bottom w:val="single" w:sz="4" w:space="0" w:color="auto"/>
              <w:right w:val="single" w:sz="4" w:space="0" w:color="auto"/>
            </w:tcBorders>
            <w:vAlign w:val="center"/>
          </w:tcPr>
          <w:p w14:paraId="4E82BF28" w14:textId="77777777" w:rsidR="007A0AE3" w:rsidRDefault="007A0AE3">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08EC3A66" w14:textId="77777777" w:rsidR="007A0AE3" w:rsidRDefault="007A0AE3">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69891EDD" w14:textId="77777777" w:rsidR="007A0AE3" w:rsidRDefault="007A0AE3">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4C71ECE2" w14:textId="77777777" w:rsidR="007A0AE3" w:rsidRDefault="007A0AE3">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9989D2" w14:textId="4A851C00" w:rsidR="007A0AE3" w:rsidRDefault="007A0AE3">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22491076" w14:textId="77777777" w:rsidR="007A0AE3" w:rsidRDefault="007A0AE3">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4A2B" w14:textId="0D97F9E9" w:rsidR="007A0AE3" w:rsidRDefault="007A0AE3">
            <w:pPr>
              <w:rPr>
                <w:rFonts w:ascii="Times New Roman" w:eastAsiaTheme="minorHAnsi" w:hAnsi="Times New Roman"/>
                <w:sz w:val="20"/>
                <w:szCs w:val="20"/>
              </w:rPr>
            </w:pPr>
            <w:r>
              <w:rPr>
                <w:rFonts w:ascii="Times New Roman" w:eastAsiaTheme="minorHAnsi" w:hAnsi="Times New Roman"/>
                <w:sz w:val="20"/>
                <w:szCs w:val="20"/>
              </w:rPr>
              <w:t>55,0</w:t>
            </w:r>
          </w:p>
        </w:tc>
        <w:tc>
          <w:tcPr>
            <w:tcW w:w="1101" w:type="dxa"/>
            <w:tcBorders>
              <w:top w:val="single" w:sz="4" w:space="0" w:color="auto"/>
              <w:left w:val="single" w:sz="4" w:space="0" w:color="auto"/>
              <w:bottom w:val="single" w:sz="4" w:space="0" w:color="auto"/>
              <w:right w:val="single" w:sz="4" w:space="0" w:color="auto"/>
            </w:tcBorders>
          </w:tcPr>
          <w:p w14:paraId="476F4284" w14:textId="77777777" w:rsidR="007A0AE3" w:rsidRDefault="007A0AE3">
            <w:pPr>
              <w:rPr>
                <w:rFonts w:ascii="Times New Roman" w:eastAsiaTheme="minorHAnsi" w:hAnsi="Times New Roman"/>
                <w:sz w:val="20"/>
                <w:szCs w:val="20"/>
              </w:rPr>
            </w:pPr>
          </w:p>
        </w:tc>
        <w:tc>
          <w:tcPr>
            <w:tcW w:w="1308" w:type="dxa"/>
            <w:tcBorders>
              <w:top w:val="single" w:sz="4" w:space="0" w:color="auto"/>
              <w:left w:val="single" w:sz="4" w:space="0" w:color="auto"/>
              <w:bottom w:val="single" w:sz="4" w:space="0" w:color="auto"/>
              <w:right w:val="single" w:sz="4" w:space="0" w:color="auto"/>
            </w:tcBorders>
            <w:vAlign w:val="center"/>
          </w:tcPr>
          <w:p w14:paraId="12579534" w14:textId="77777777" w:rsidR="007A0AE3" w:rsidRDefault="007A0AE3">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36CA2CD9"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w:t>
            </w:r>
            <w:r w:rsidR="009830D0">
              <w:rPr>
                <w:rFonts w:ascii="Times New Roman" w:hAnsi="Times New Roman"/>
                <w:b/>
                <w:bCs/>
                <w:noProof/>
                <w:color w:val="000000"/>
                <w:sz w:val="20"/>
                <w:szCs w:val="20"/>
                <w:lang w:val="ru-RU" w:eastAsia="uk-UA"/>
              </w:rPr>
              <w:t>8</w:t>
            </w:r>
            <w:r w:rsidR="005471DE">
              <w:rPr>
                <w:rFonts w:ascii="Times New Roman" w:hAnsi="Times New Roman"/>
                <w:b/>
                <w:bCs/>
                <w:noProof/>
                <w:color w:val="000000"/>
                <w:sz w:val="20"/>
                <w:szCs w:val="20"/>
                <w:lang w:val="ru-RU" w:eastAsia="uk-UA"/>
              </w:rPr>
              <w:t>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DA31EC" w14:paraId="34418E82" w14:textId="77777777" w:rsidTr="00631866">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DA31EC" w:rsidRDefault="00DA31EC"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DA31EC" w:rsidRDefault="00DA31EC"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right w:val="single" w:sz="4" w:space="0" w:color="auto"/>
            </w:tcBorders>
            <w:vAlign w:val="center"/>
            <w:hideMark/>
          </w:tcPr>
          <w:p w14:paraId="7FF9CE92" w14:textId="025DEB30" w:rsidR="00DA31EC" w:rsidRDefault="00DA31EC" w:rsidP="000E6C3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p>
        </w:tc>
        <w:tc>
          <w:tcPr>
            <w:tcW w:w="709" w:type="dxa"/>
            <w:gridSpan w:val="2"/>
            <w:vMerge w:val="restart"/>
            <w:tcBorders>
              <w:top w:val="single" w:sz="4" w:space="0" w:color="auto"/>
              <w:left w:val="single" w:sz="4" w:space="0" w:color="auto"/>
              <w:right w:val="single" w:sz="4" w:space="0" w:color="auto"/>
            </w:tcBorders>
            <w:vAlign w:val="center"/>
          </w:tcPr>
          <w:p w14:paraId="2D76A70F" w14:textId="77777777" w:rsidR="00DA31EC" w:rsidRDefault="00DA31EC" w:rsidP="000E6C36">
            <w:pPr>
              <w:rPr>
                <w:rFonts w:ascii="Times New Roman" w:eastAsia="Times New Roman" w:hAnsi="Times New Roman"/>
                <w:noProof/>
                <w:color w:val="000000"/>
                <w:sz w:val="20"/>
                <w:szCs w:val="20"/>
              </w:rPr>
            </w:pPr>
          </w:p>
          <w:p w14:paraId="3BF3BEBE" w14:textId="77777777" w:rsidR="00DA31EC" w:rsidRDefault="00DA31EC" w:rsidP="000E6C36">
            <w:pPr>
              <w:rPr>
                <w:rFonts w:ascii="Times New Roman" w:hAnsi="Times New Roman"/>
                <w:noProof/>
                <w:color w:val="000000"/>
                <w:sz w:val="20"/>
                <w:szCs w:val="20"/>
              </w:rPr>
            </w:pPr>
          </w:p>
          <w:p w14:paraId="10E96621" w14:textId="77777777" w:rsidR="00DA31EC" w:rsidRDefault="00DA31EC" w:rsidP="000E6C36">
            <w:pPr>
              <w:rPr>
                <w:rFonts w:ascii="Times New Roman" w:hAnsi="Times New Roman"/>
                <w:noProof/>
                <w:color w:val="000000"/>
                <w:sz w:val="20"/>
                <w:szCs w:val="20"/>
              </w:rPr>
            </w:pPr>
          </w:p>
          <w:p w14:paraId="64FFB110" w14:textId="77777777" w:rsidR="00DA31EC" w:rsidRDefault="00DA31EC" w:rsidP="000E6C36">
            <w:pPr>
              <w:rPr>
                <w:rFonts w:ascii="Times New Roman" w:hAnsi="Times New Roman"/>
                <w:noProof/>
                <w:color w:val="000000"/>
                <w:sz w:val="20"/>
                <w:szCs w:val="20"/>
              </w:rPr>
            </w:pPr>
          </w:p>
          <w:p w14:paraId="4038B20B" w14:textId="77777777" w:rsidR="00DA31EC" w:rsidRDefault="00DA31EC" w:rsidP="000E6C36">
            <w:pPr>
              <w:rPr>
                <w:rFonts w:ascii="Times New Roman" w:hAnsi="Times New Roman"/>
                <w:noProof/>
                <w:color w:val="000000"/>
                <w:sz w:val="20"/>
                <w:szCs w:val="20"/>
              </w:rPr>
            </w:pPr>
          </w:p>
          <w:p w14:paraId="5A1313CE" w14:textId="77777777" w:rsidR="00DA31EC" w:rsidRDefault="00DA31EC" w:rsidP="000E6C36">
            <w:pPr>
              <w:rPr>
                <w:rFonts w:ascii="Times New Roman" w:hAnsi="Times New Roman"/>
                <w:noProof/>
                <w:color w:val="000000"/>
                <w:sz w:val="20"/>
                <w:szCs w:val="20"/>
              </w:rPr>
            </w:pPr>
          </w:p>
          <w:p w14:paraId="28EBAE70"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right w:val="single" w:sz="4" w:space="0" w:color="auto"/>
            </w:tcBorders>
            <w:vAlign w:val="center"/>
            <w:hideMark/>
          </w:tcPr>
          <w:p w14:paraId="748FC80A" w14:textId="77777777" w:rsidR="00DA31EC" w:rsidRDefault="00DA31EC"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DA31EC" w:rsidRDefault="00DA31EC"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DA31EC" w:rsidRPr="00A62DFE" w:rsidRDefault="00DA31EC" w:rsidP="000E6C36">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6C152406" w:rsidR="00DA31EC" w:rsidRPr="00AF0089" w:rsidRDefault="00DA31EC" w:rsidP="000E6C36">
            <w:pPr>
              <w:rPr>
                <w:rFonts w:ascii="Times New Roman" w:eastAsiaTheme="minorHAnsi" w:hAnsi="Times New Roman"/>
                <w:sz w:val="20"/>
                <w:szCs w:val="20"/>
              </w:rPr>
            </w:pPr>
            <w:r>
              <w:rPr>
                <w:rFonts w:ascii="Times New Roman" w:eastAsiaTheme="minorHAnsi" w:hAnsi="Times New Roman"/>
                <w:sz w:val="20"/>
                <w:szCs w:val="20"/>
              </w:rPr>
              <w:t>8</w:t>
            </w:r>
            <w:r w:rsidRPr="00AF0089">
              <w:rPr>
                <w:rFonts w:ascii="Times New Roman" w:eastAsiaTheme="minorHAnsi" w:hAnsi="Times New Roman"/>
                <w:sz w:val="20"/>
                <w:szCs w:val="20"/>
              </w:rPr>
              <w:t>0,7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right w:val="single" w:sz="4" w:space="0" w:color="auto"/>
            </w:tcBorders>
            <w:hideMark/>
          </w:tcPr>
          <w:p w14:paraId="23EC1DD7" w14:textId="77777777" w:rsidR="00DA31EC" w:rsidRDefault="00DA31EC"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DA31EC" w14:paraId="30A53D8D" w14:textId="77777777" w:rsidTr="00631866">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067C50A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A2F8503"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3C0EBC9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DA31EC" w:rsidRDefault="00DA31EC"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DA31EC" w:rsidRDefault="00DA31EC"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2406B6F3" w14:textId="77777777" w:rsidR="00DA31EC" w:rsidRDefault="00DA31EC" w:rsidP="000E6C36">
            <w:pPr>
              <w:rPr>
                <w:rFonts w:ascii="Times New Roman" w:eastAsia="Times New Roman" w:hAnsi="Times New Roman"/>
                <w:noProof/>
                <w:color w:val="000000"/>
                <w:sz w:val="20"/>
                <w:szCs w:val="20"/>
              </w:rPr>
            </w:pPr>
          </w:p>
        </w:tc>
      </w:tr>
      <w:tr w:rsidR="00DA31EC" w14:paraId="191C1904" w14:textId="77777777" w:rsidTr="00631866">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7B50B33C"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61F8EF1E"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25FA4883"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EEF9B0E" w14:textId="77777777" w:rsidR="00DA31EC" w:rsidRDefault="00DA31EC" w:rsidP="000E6C36">
            <w:pPr>
              <w:rPr>
                <w:rFonts w:ascii="Times New Roman" w:eastAsia="Times New Roman" w:hAnsi="Times New Roman"/>
                <w:noProof/>
                <w:color w:val="000000"/>
                <w:sz w:val="20"/>
                <w:szCs w:val="20"/>
              </w:rPr>
            </w:pPr>
          </w:p>
        </w:tc>
      </w:tr>
      <w:tr w:rsidR="00DA31EC" w14:paraId="0CBDDD88"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right w:val="single" w:sz="4" w:space="0" w:color="auto"/>
            </w:tcBorders>
            <w:vAlign w:val="center"/>
            <w:hideMark/>
          </w:tcPr>
          <w:p w14:paraId="50CF9E85"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80124B7"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6EEA567F"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DA31EC" w:rsidRDefault="00DA31EC"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DA31EC" w:rsidRDefault="00DA31EC"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735486A2" w14:textId="77777777" w:rsidR="00DA31EC" w:rsidRDefault="00DA31EC" w:rsidP="000E6C36">
            <w:pPr>
              <w:rPr>
                <w:rFonts w:ascii="Times New Roman" w:eastAsia="Times New Roman" w:hAnsi="Times New Roman"/>
                <w:noProof/>
                <w:color w:val="000000"/>
                <w:sz w:val="20"/>
                <w:szCs w:val="20"/>
              </w:rPr>
            </w:pPr>
          </w:p>
        </w:tc>
      </w:tr>
      <w:tr w:rsidR="00DA31EC" w14:paraId="0798BE96" w14:textId="77777777" w:rsidTr="00631866">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tcPr>
          <w:p w14:paraId="6E4EBFD8" w14:textId="77777777" w:rsidR="00DA31EC" w:rsidRDefault="00DA31EC" w:rsidP="000E6C36"/>
        </w:tc>
        <w:tc>
          <w:tcPr>
            <w:tcW w:w="1560" w:type="dxa"/>
            <w:vMerge/>
            <w:tcBorders>
              <w:top w:val="nil"/>
              <w:left w:val="single" w:sz="4" w:space="0" w:color="auto"/>
              <w:bottom w:val="single" w:sz="4" w:space="0" w:color="auto"/>
              <w:right w:val="single" w:sz="4" w:space="0" w:color="auto"/>
            </w:tcBorders>
            <w:vAlign w:val="center"/>
          </w:tcPr>
          <w:p w14:paraId="5E22B934" w14:textId="77777777" w:rsidR="00DA31EC" w:rsidRDefault="00DA31EC" w:rsidP="000E6C36">
            <w:pPr>
              <w:rPr>
                <w:rFonts w:ascii="Times New Roman" w:eastAsiaTheme="minorHAnsi" w:hAnsi="Times New Roman"/>
                <w:sz w:val="20"/>
                <w:szCs w:val="20"/>
                <w:lang w:eastAsia="ru-RU"/>
              </w:rPr>
            </w:pPr>
          </w:p>
        </w:tc>
        <w:tc>
          <w:tcPr>
            <w:tcW w:w="1559" w:type="dxa"/>
            <w:gridSpan w:val="2"/>
            <w:vMerge/>
            <w:tcBorders>
              <w:left w:val="single" w:sz="4" w:space="0" w:color="auto"/>
              <w:bottom w:val="single" w:sz="4" w:space="0" w:color="auto"/>
              <w:right w:val="single" w:sz="4" w:space="0" w:color="auto"/>
            </w:tcBorders>
            <w:vAlign w:val="center"/>
          </w:tcPr>
          <w:p w14:paraId="7527E3EB" w14:textId="77777777" w:rsidR="00DA31EC" w:rsidRDefault="00DA31EC"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165F9B05" w14:textId="77777777" w:rsidR="00DA31EC" w:rsidRDefault="00DA31EC"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CCAD0FA" w14:textId="77777777" w:rsidR="00DA31EC" w:rsidRDefault="00DA31EC"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BBFEF92" w14:textId="6DDC9E68" w:rsidR="00DA31EC" w:rsidRDefault="00DA31EC" w:rsidP="000E6C36">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4D568B7B" w14:textId="77777777" w:rsidR="00DA31EC" w:rsidRDefault="00DA31EC"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C31C68D" w14:textId="0C0C1EB9" w:rsidR="00DA31EC" w:rsidRDefault="00DA31EC" w:rsidP="000E6C36">
            <w:pPr>
              <w:rPr>
                <w:rFonts w:ascii="Times New Roman" w:eastAsiaTheme="minorHAnsi" w:hAnsi="Times New Roman"/>
                <w:sz w:val="20"/>
                <w:szCs w:val="20"/>
              </w:rPr>
            </w:pPr>
            <w:r>
              <w:rPr>
                <w:rFonts w:ascii="Times New Roman" w:eastAsiaTheme="minorHAnsi" w:hAnsi="Times New Roman"/>
                <w:sz w:val="20"/>
                <w:szCs w:val="20"/>
              </w:rPr>
              <w:t>50,0</w:t>
            </w:r>
          </w:p>
        </w:tc>
        <w:tc>
          <w:tcPr>
            <w:tcW w:w="1101" w:type="dxa"/>
            <w:tcBorders>
              <w:top w:val="single" w:sz="4" w:space="0" w:color="auto"/>
              <w:left w:val="single" w:sz="4" w:space="0" w:color="auto"/>
              <w:bottom w:val="single" w:sz="4" w:space="0" w:color="auto"/>
              <w:right w:val="single" w:sz="4" w:space="0" w:color="auto"/>
            </w:tcBorders>
          </w:tcPr>
          <w:p w14:paraId="6C9AD308" w14:textId="77777777" w:rsidR="00DA31EC" w:rsidRDefault="00DA31EC"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0A9EC282" w14:textId="77777777" w:rsidR="00DA31EC" w:rsidRDefault="00DA31EC" w:rsidP="000E6C36">
            <w:pPr>
              <w:rPr>
                <w:rFonts w:ascii="Times New Roman" w:eastAsia="Times New Roman" w:hAnsi="Times New Roman"/>
                <w:noProof/>
                <w:color w:val="000000"/>
                <w:sz w:val="20"/>
                <w:szCs w:val="20"/>
              </w:rPr>
            </w:pPr>
          </w:p>
        </w:tc>
      </w:tr>
      <w:bookmarkEnd w:id="17"/>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4"/>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5" w:name="_Hlk148607679"/>
          </w:p>
        </w:tc>
        <w:bookmarkEnd w:id="25"/>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Мотивація спортсменів </w:t>
            </w:r>
            <w:r>
              <w:rPr>
                <w:rFonts w:ascii="Times New Roman" w:hAnsi="Times New Roman"/>
                <w:noProof/>
                <w:color w:val="000000"/>
                <w:sz w:val="20"/>
                <w:szCs w:val="20"/>
                <w:lang w:eastAsia="uk-UA"/>
              </w:rPr>
              <w:lastRenderedPageBreak/>
              <w:t>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8.3. Виготовлення проєктно-кошторисної документації реконструкції </w:t>
            </w:r>
            <w:r>
              <w:rPr>
                <w:rFonts w:ascii="Times New Roman" w:hAnsi="Times New Roman"/>
                <w:noProof/>
                <w:color w:val="000000"/>
                <w:sz w:val="20"/>
                <w:szCs w:val="20"/>
                <w:lang w:eastAsia="uk-UA"/>
              </w:rPr>
              <w:lastRenderedPageBreak/>
              <w:t>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дітей та молоді громади </w:t>
            </w:r>
            <w:r>
              <w:rPr>
                <w:rFonts w:ascii="Times New Roman" w:hAnsi="Times New Roman"/>
                <w:noProof/>
                <w:color w:val="000000"/>
                <w:sz w:val="20"/>
                <w:szCs w:val="20"/>
                <w:lang w:eastAsia="uk-UA"/>
              </w:rPr>
              <w:lastRenderedPageBreak/>
              <w:t>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числі ремонт обладнання для забезпечення своєчасної та якісної роботи спортивного </w:t>
            </w:r>
            <w:r>
              <w:rPr>
                <w:rFonts w:ascii="Times New Roman" w:hAnsi="Times New Roman"/>
                <w:noProof/>
                <w:color w:val="000000"/>
                <w:sz w:val="20"/>
                <w:szCs w:val="20"/>
                <w:lang w:val="ru-RU" w:eastAsia="uk-UA"/>
              </w:rPr>
              <w:lastRenderedPageBreak/>
              <w:t>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49E7EFC7"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888</w:t>
            </w:r>
            <w:r w:rsidR="00047D40">
              <w:rPr>
                <w:rFonts w:ascii="Times New Roman" w:eastAsiaTheme="minorHAnsi" w:hAnsi="Times New Roman"/>
                <w:sz w:val="20"/>
                <w:szCs w:val="20"/>
              </w:rPr>
              <w:t>,</w:t>
            </w:r>
            <w:r w:rsidR="002B2BCB">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224B72BB"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105</w:t>
            </w:r>
            <w:r w:rsidR="006C593F">
              <w:rPr>
                <w:rFonts w:ascii="Times New Roman" w:eastAsiaTheme="minorHAnsi" w:hAnsi="Times New Roman"/>
                <w:sz w:val="20"/>
                <w:szCs w:val="20"/>
              </w:rPr>
              <w:t>,</w:t>
            </w:r>
            <w:r>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73392A92" w:rsidR="000E6C36" w:rsidRDefault="00514A67" w:rsidP="000E6C36">
            <w:pPr>
              <w:rPr>
                <w:rFonts w:ascii="Times New Roman" w:eastAsiaTheme="minorHAnsi" w:hAnsi="Times New Roman"/>
                <w:sz w:val="20"/>
                <w:szCs w:val="20"/>
              </w:rPr>
            </w:pPr>
            <w:r>
              <w:rPr>
                <w:rFonts w:ascii="Times New Roman" w:eastAsiaTheme="minorHAnsi" w:hAnsi="Times New Roman"/>
                <w:sz w:val="20"/>
                <w:szCs w:val="20"/>
              </w:rPr>
              <w:t>433,7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1"/>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14E373A5"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636D1C">
              <w:rPr>
                <w:rFonts w:ascii="Times New Roman" w:eastAsiaTheme="minorHAnsi" w:hAnsi="Times New Roman"/>
                <w:b/>
                <w:bCs/>
                <w:sz w:val="20"/>
                <w:szCs w:val="20"/>
              </w:rPr>
              <w:t>5565</w:t>
            </w:r>
            <w:r w:rsidR="005F6221">
              <w:rPr>
                <w:rFonts w:ascii="Times New Roman" w:eastAsiaTheme="minorHAnsi" w:hAnsi="Times New Roman"/>
                <w:b/>
                <w:bCs/>
                <w:sz w:val="20"/>
                <w:szCs w:val="20"/>
              </w:rPr>
              <w:t>,</w:t>
            </w:r>
            <w:r w:rsidR="00636D1C">
              <w:rPr>
                <w:rFonts w:ascii="Times New Roman" w:eastAsiaTheme="minorHAnsi" w:hAnsi="Times New Roman"/>
                <w:b/>
                <w:bCs/>
                <w:sz w:val="20"/>
                <w:szCs w:val="20"/>
              </w:rPr>
              <w:t>8</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498016A3" w14:textId="77777777" w:rsidR="00636D1C" w:rsidRDefault="00636D1C" w:rsidP="000E6C36">
            <w:pPr>
              <w:rPr>
                <w:rFonts w:ascii="Times New Roman" w:eastAsiaTheme="minorHAnsi" w:hAnsi="Times New Roman"/>
                <w:sz w:val="20"/>
                <w:szCs w:val="20"/>
              </w:rPr>
            </w:pPr>
          </w:p>
          <w:p w14:paraId="49013035" w14:textId="39F00F19" w:rsidR="000E6C36" w:rsidRDefault="00636D1C" w:rsidP="000E6C36">
            <w:pPr>
              <w:rPr>
                <w:rFonts w:ascii="Times New Roman" w:eastAsiaTheme="minorHAnsi" w:hAnsi="Times New Roman"/>
                <w:sz w:val="20"/>
                <w:szCs w:val="20"/>
              </w:rPr>
            </w:pPr>
            <w:r>
              <w:rPr>
                <w:rFonts w:ascii="Times New Roman" w:eastAsiaTheme="minorHAnsi" w:hAnsi="Times New Roman"/>
                <w:sz w:val="20"/>
                <w:szCs w:val="20"/>
              </w:rPr>
              <w:t>2827,9</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Охоплено населення за </w:t>
            </w:r>
            <w:r>
              <w:rPr>
                <w:rFonts w:ascii="Times New Roman" w:eastAsiaTheme="minorHAnsi" w:hAnsi="Times New Roman"/>
                <w:szCs w:val="20"/>
              </w:rPr>
              <w:lastRenderedPageBreak/>
              <w:t>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lastRenderedPageBreak/>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lastRenderedPageBreak/>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 xml:space="preserve">Всього витрат на виконання </w:t>
            </w:r>
            <w:r>
              <w:rPr>
                <w:rFonts w:ascii="Times New Roman" w:hAnsi="Times New Roman"/>
                <w:b/>
                <w:bCs/>
                <w:noProof/>
                <w:color w:val="000000"/>
                <w:szCs w:val="24"/>
              </w:rPr>
              <w:lastRenderedPageBreak/>
              <w:t>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3F36517E" w:rsidR="00A422D5" w:rsidRDefault="00CB1732"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888</w:t>
            </w:r>
            <w:r w:rsidR="00A422D5">
              <w:rPr>
                <w:rFonts w:ascii="Times New Roman" w:eastAsiaTheme="minorHAnsi" w:hAnsi="Times New Roman"/>
                <w:sz w:val="20"/>
                <w:szCs w:val="20"/>
              </w:rPr>
              <w:t>,</w:t>
            </w:r>
            <w:r w:rsidR="00BB055A">
              <w:rPr>
                <w:rFonts w:ascii="Times New Roman" w:eastAsiaTheme="minorHAnsi" w:hAnsi="Times New Roman"/>
                <w:sz w:val="20"/>
                <w:szCs w:val="20"/>
              </w:rPr>
              <w:t>7</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24FB2BD" w:rsidR="00A422D5" w:rsidRDefault="00CB1732"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1823,6</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F343C71" w:rsidR="00A422D5" w:rsidRDefault="00636D1C"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5F4D6F86" w:rsidR="00A422D5" w:rsidRDefault="00636D1C"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319,3</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4CE50974" w:rsidR="00A422D5" w:rsidRDefault="00CB1732"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433</w:t>
            </w:r>
            <w:r w:rsidR="00A422D5">
              <w:rPr>
                <w:rFonts w:ascii="Times New Roman" w:eastAsiaTheme="minorHAnsi" w:hAnsi="Times New Roman"/>
                <w:sz w:val="20"/>
                <w:szCs w:val="20"/>
              </w:rPr>
              <w:t>,</w:t>
            </w:r>
            <w:r w:rsidR="00E6136D">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1251258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w:t>
            </w:r>
            <w:r w:rsidR="00CB1732">
              <w:rPr>
                <w:rFonts w:ascii="Times New Roman" w:hAnsi="Times New Roman"/>
                <w:noProof/>
                <w:color w:val="000000"/>
                <w:sz w:val="20"/>
                <w:szCs w:val="20"/>
              </w:rPr>
              <w:t>472</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5A3F5724" w:rsidR="00A422D5" w:rsidRDefault="00D67AEF"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28</w:t>
            </w:r>
            <w:r w:rsidR="00636D1C">
              <w:rPr>
                <w:rFonts w:ascii="Times New Roman" w:eastAsiaTheme="minorHAnsi" w:hAnsi="Times New Roman"/>
                <w:sz w:val="20"/>
                <w:szCs w:val="20"/>
              </w:rPr>
              <w:t>27</w:t>
            </w:r>
            <w:r w:rsidR="00A422D5">
              <w:rPr>
                <w:rFonts w:ascii="Times New Roman" w:eastAsiaTheme="minorHAnsi" w:hAnsi="Times New Roman"/>
                <w:sz w:val="20"/>
                <w:szCs w:val="20"/>
              </w:rPr>
              <w:t>,</w:t>
            </w:r>
            <w:r w:rsidR="00636D1C">
              <w:rPr>
                <w:rFonts w:ascii="Times New Roman" w:eastAsiaTheme="minorHAnsi" w:hAnsi="Times New Roman"/>
                <w:sz w:val="20"/>
                <w:szCs w:val="20"/>
              </w:rPr>
              <w:t>9</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17A115FB" w:rsidR="00A422D5" w:rsidRDefault="00D67AEF"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55</w:t>
            </w:r>
            <w:r w:rsidR="00636D1C">
              <w:rPr>
                <w:rFonts w:ascii="Times New Roman" w:hAnsi="Times New Roman"/>
                <w:b/>
                <w:bCs/>
                <w:noProof/>
                <w:color w:val="000000"/>
                <w:sz w:val="20"/>
                <w:szCs w:val="20"/>
              </w:rPr>
              <w:t>65</w:t>
            </w:r>
            <w:r w:rsidR="00A422D5">
              <w:rPr>
                <w:rFonts w:ascii="Times New Roman" w:hAnsi="Times New Roman"/>
                <w:b/>
                <w:bCs/>
                <w:noProof/>
                <w:color w:val="000000"/>
                <w:sz w:val="20"/>
                <w:szCs w:val="20"/>
              </w:rPr>
              <w:t>,</w:t>
            </w:r>
            <w:r w:rsidR="00636D1C">
              <w:rPr>
                <w:rFonts w:ascii="Times New Roman" w:hAnsi="Times New Roman"/>
                <w:b/>
                <w:bCs/>
                <w:noProof/>
                <w:color w:val="000000"/>
                <w:sz w:val="20"/>
                <w:szCs w:val="20"/>
              </w:rPr>
              <w:t>8</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57C9D052" w14:textId="7449CA7A" w:rsidR="0079600B" w:rsidRDefault="0079600B" w:rsidP="005811BA">
      <w:pP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4E9D9" w14:textId="77777777" w:rsidR="00740913" w:rsidRDefault="00740913" w:rsidP="00737C34">
      <w:pPr>
        <w:spacing w:after="0" w:line="240" w:lineRule="auto"/>
      </w:pPr>
      <w:r>
        <w:separator/>
      </w:r>
    </w:p>
  </w:endnote>
  <w:endnote w:type="continuationSeparator" w:id="0">
    <w:p w14:paraId="5A72A3C6" w14:textId="77777777" w:rsidR="00740913" w:rsidRDefault="00740913"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07B67" w14:textId="77777777" w:rsidR="00740913" w:rsidRDefault="00740913" w:rsidP="00737C34">
      <w:pPr>
        <w:spacing w:after="0" w:line="240" w:lineRule="auto"/>
      </w:pPr>
      <w:r>
        <w:separator/>
      </w:r>
    </w:p>
  </w:footnote>
  <w:footnote w:type="continuationSeparator" w:id="0">
    <w:p w14:paraId="3CF73776" w14:textId="77777777" w:rsidR="00740913" w:rsidRDefault="00740913"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104BF"/>
    <w:rsid w:val="0001290E"/>
    <w:rsid w:val="0002107A"/>
    <w:rsid w:val="00021BA8"/>
    <w:rsid w:val="00030D40"/>
    <w:rsid w:val="00033937"/>
    <w:rsid w:val="00040453"/>
    <w:rsid w:val="00047D40"/>
    <w:rsid w:val="00055136"/>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D040D"/>
    <w:rsid w:val="001E2A12"/>
    <w:rsid w:val="001F03FB"/>
    <w:rsid w:val="001F33CC"/>
    <w:rsid w:val="001F3F85"/>
    <w:rsid w:val="001F6AA5"/>
    <w:rsid w:val="002221C5"/>
    <w:rsid w:val="00222E12"/>
    <w:rsid w:val="0023051B"/>
    <w:rsid w:val="00241D7B"/>
    <w:rsid w:val="00244061"/>
    <w:rsid w:val="0027435B"/>
    <w:rsid w:val="00277EE9"/>
    <w:rsid w:val="00283955"/>
    <w:rsid w:val="002937F5"/>
    <w:rsid w:val="002A023A"/>
    <w:rsid w:val="002A5332"/>
    <w:rsid w:val="002B2BCB"/>
    <w:rsid w:val="002E426E"/>
    <w:rsid w:val="002E4360"/>
    <w:rsid w:val="002F02AA"/>
    <w:rsid w:val="002F27CC"/>
    <w:rsid w:val="002F6387"/>
    <w:rsid w:val="002F6D2E"/>
    <w:rsid w:val="00301426"/>
    <w:rsid w:val="00301E83"/>
    <w:rsid w:val="00304DAC"/>
    <w:rsid w:val="00306EB6"/>
    <w:rsid w:val="003070CD"/>
    <w:rsid w:val="00307594"/>
    <w:rsid w:val="00322154"/>
    <w:rsid w:val="00325AF2"/>
    <w:rsid w:val="00327546"/>
    <w:rsid w:val="003425EA"/>
    <w:rsid w:val="003440C5"/>
    <w:rsid w:val="00363A15"/>
    <w:rsid w:val="00372DF0"/>
    <w:rsid w:val="00375A14"/>
    <w:rsid w:val="00381883"/>
    <w:rsid w:val="003C6CBD"/>
    <w:rsid w:val="003D0515"/>
    <w:rsid w:val="003D68F3"/>
    <w:rsid w:val="003D7086"/>
    <w:rsid w:val="003E3A17"/>
    <w:rsid w:val="003E4018"/>
    <w:rsid w:val="003E5068"/>
    <w:rsid w:val="003E5B15"/>
    <w:rsid w:val="003F5F9A"/>
    <w:rsid w:val="003F7348"/>
    <w:rsid w:val="003F7D39"/>
    <w:rsid w:val="00401A6B"/>
    <w:rsid w:val="00403A06"/>
    <w:rsid w:val="00407E6E"/>
    <w:rsid w:val="004108D3"/>
    <w:rsid w:val="0041499C"/>
    <w:rsid w:val="00414BC3"/>
    <w:rsid w:val="00427F7F"/>
    <w:rsid w:val="00451010"/>
    <w:rsid w:val="004567CB"/>
    <w:rsid w:val="00462343"/>
    <w:rsid w:val="004645A4"/>
    <w:rsid w:val="00471BB9"/>
    <w:rsid w:val="00491E4D"/>
    <w:rsid w:val="004953AB"/>
    <w:rsid w:val="00497F9F"/>
    <w:rsid w:val="004A2763"/>
    <w:rsid w:val="004A5F24"/>
    <w:rsid w:val="004B2047"/>
    <w:rsid w:val="004B3C10"/>
    <w:rsid w:val="004C5204"/>
    <w:rsid w:val="004D6EB3"/>
    <w:rsid w:val="004E50D8"/>
    <w:rsid w:val="00507C7F"/>
    <w:rsid w:val="00513B25"/>
    <w:rsid w:val="00514A67"/>
    <w:rsid w:val="00515BBB"/>
    <w:rsid w:val="00526E4A"/>
    <w:rsid w:val="005326E1"/>
    <w:rsid w:val="00534DF3"/>
    <w:rsid w:val="0053632C"/>
    <w:rsid w:val="005471DE"/>
    <w:rsid w:val="005522AE"/>
    <w:rsid w:val="005620FD"/>
    <w:rsid w:val="00563E54"/>
    <w:rsid w:val="005811BA"/>
    <w:rsid w:val="00586217"/>
    <w:rsid w:val="00592F16"/>
    <w:rsid w:val="00597112"/>
    <w:rsid w:val="005972B7"/>
    <w:rsid w:val="005A1DBA"/>
    <w:rsid w:val="005A49ED"/>
    <w:rsid w:val="005B5724"/>
    <w:rsid w:val="005B661A"/>
    <w:rsid w:val="005C3494"/>
    <w:rsid w:val="005C4498"/>
    <w:rsid w:val="005E52C8"/>
    <w:rsid w:val="005E5AD8"/>
    <w:rsid w:val="005F40AC"/>
    <w:rsid w:val="005F4624"/>
    <w:rsid w:val="005F6221"/>
    <w:rsid w:val="0061643F"/>
    <w:rsid w:val="00625B49"/>
    <w:rsid w:val="00627461"/>
    <w:rsid w:val="00631D27"/>
    <w:rsid w:val="00636D1C"/>
    <w:rsid w:val="00650156"/>
    <w:rsid w:val="00654CE4"/>
    <w:rsid w:val="00682E33"/>
    <w:rsid w:val="00682E7C"/>
    <w:rsid w:val="006A71F0"/>
    <w:rsid w:val="006B3EED"/>
    <w:rsid w:val="006B704B"/>
    <w:rsid w:val="006C593F"/>
    <w:rsid w:val="006D763A"/>
    <w:rsid w:val="006E30CC"/>
    <w:rsid w:val="006E5625"/>
    <w:rsid w:val="006E7241"/>
    <w:rsid w:val="006F6B83"/>
    <w:rsid w:val="00710C64"/>
    <w:rsid w:val="0071675E"/>
    <w:rsid w:val="00727711"/>
    <w:rsid w:val="00737C34"/>
    <w:rsid w:val="00740913"/>
    <w:rsid w:val="00740A3F"/>
    <w:rsid w:val="007427CA"/>
    <w:rsid w:val="00774571"/>
    <w:rsid w:val="0078559D"/>
    <w:rsid w:val="007959BF"/>
    <w:rsid w:val="00795E0D"/>
    <w:rsid w:val="0079600B"/>
    <w:rsid w:val="007A0AE3"/>
    <w:rsid w:val="007A5405"/>
    <w:rsid w:val="007B336A"/>
    <w:rsid w:val="007B4257"/>
    <w:rsid w:val="007B48A5"/>
    <w:rsid w:val="007B65AF"/>
    <w:rsid w:val="007D206B"/>
    <w:rsid w:val="007E1DEF"/>
    <w:rsid w:val="007E1F31"/>
    <w:rsid w:val="007F3B10"/>
    <w:rsid w:val="008017FC"/>
    <w:rsid w:val="00802972"/>
    <w:rsid w:val="00805AAA"/>
    <w:rsid w:val="00812732"/>
    <w:rsid w:val="00826CF8"/>
    <w:rsid w:val="0083027B"/>
    <w:rsid w:val="00830FF6"/>
    <w:rsid w:val="00846650"/>
    <w:rsid w:val="00876511"/>
    <w:rsid w:val="008774A7"/>
    <w:rsid w:val="00884B6A"/>
    <w:rsid w:val="008A5141"/>
    <w:rsid w:val="008B1B30"/>
    <w:rsid w:val="008C0D96"/>
    <w:rsid w:val="008D015C"/>
    <w:rsid w:val="008D0433"/>
    <w:rsid w:val="008D3B99"/>
    <w:rsid w:val="008D3DBF"/>
    <w:rsid w:val="008D53A7"/>
    <w:rsid w:val="008E1006"/>
    <w:rsid w:val="008E2688"/>
    <w:rsid w:val="00921341"/>
    <w:rsid w:val="00936375"/>
    <w:rsid w:val="0094428F"/>
    <w:rsid w:val="00945C27"/>
    <w:rsid w:val="009617F3"/>
    <w:rsid w:val="00975474"/>
    <w:rsid w:val="009830D0"/>
    <w:rsid w:val="0098777A"/>
    <w:rsid w:val="009A54DB"/>
    <w:rsid w:val="009B4597"/>
    <w:rsid w:val="009D6E2D"/>
    <w:rsid w:val="009E3308"/>
    <w:rsid w:val="009F7DC3"/>
    <w:rsid w:val="00A0188D"/>
    <w:rsid w:val="00A026FC"/>
    <w:rsid w:val="00A07C6B"/>
    <w:rsid w:val="00A117DE"/>
    <w:rsid w:val="00A1748D"/>
    <w:rsid w:val="00A33951"/>
    <w:rsid w:val="00A37514"/>
    <w:rsid w:val="00A422D5"/>
    <w:rsid w:val="00A42C41"/>
    <w:rsid w:val="00A47B36"/>
    <w:rsid w:val="00A50231"/>
    <w:rsid w:val="00A560E4"/>
    <w:rsid w:val="00A62DFE"/>
    <w:rsid w:val="00A63DA8"/>
    <w:rsid w:val="00A879CC"/>
    <w:rsid w:val="00A91552"/>
    <w:rsid w:val="00A94D92"/>
    <w:rsid w:val="00A96758"/>
    <w:rsid w:val="00AA2271"/>
    <w:rsid w:val="00AA2974"/>
    <w:rsid w:val="00AA4387"/>
    <w:rsid w:val="00AA7E47"/>
    <w:rsid w:val="00AB657F"/>
    <w:rsid w:val="00AC6614"/>
    <w:rsid w:val="00AD2A7F"/>
    <w:rsid w:val="00AD2FCF"/>
    <w:rsid w:val="00AD41DE"/>
    <w:rsid w:val="00AF0089"/>
    <w:rsid w:val="00B126D7"/>
    <w:rsid w:val="00B30CCF"/>
    <w:rsid w:val="00B36788"/>
    <w:rsid w:val="00B37FF9"/>
    <w:rsid w:val="00B441A9"/>
    <w:rsid w:val="00B45AF9"/>
    <w:rsid w:val="00B51295"/>
    <w:rsid w:val="00B57180"/>
    <w:rsid w:val="00B62FA7"/>
    <w:rsid w:val="00B743AE"/>
    <w:rsid w:val="00B811D5"/>
    <w:rsid w:val="00B85449"/>
    <w:rsid w:val="00B9782A"/>
    <w:rsid w:val="00BA5C02"/>
    <w:rsid w:val="00BB055A"/>
    <w:rsid w:val="00BB3A9A"/>
    <w:rsid w:val="00BB60D1"/>
    <w:rsid w:val="00BB7D13"/>
    <w:rsid w:val="00BD1083"/>
    <w:rsid w:val="00BF1544"/>
    <w:rsid w:val="00BF396E"/>
    <w:rsid w:val="00C03567"/>
    <w:rsid w:val="00C11045"/>
    <w:rsid w:val="00C13FEE"/>
    <w:rsid w:val="00C35B9F"/>
    <w:rsid w:val="00C367B6"/>
    <w:rsid w:val="00C50BBD"/>
    <w:rsid w:val="00C57366"/>
    <w:rsid w:val="00C60BC8"/>
    <w:rsid w:val="00C65E05"/>
    <w:rsid w:val="00C81DCB"/>
    <w:rsid w:val="00C8533E"/>
    <w:rsid w:val="00C94106"/>
    <w:rsid w:val="00C94437"/>
    <w:rsid w:val="00C95B06"/>
    <w:rsid w:val="00CA18A4"/>
    <w:rsid w:val="00CB1732"/>
    <w:rsid w:val="00CC09D4"/>
    <w:rsid w:val="00CC6620"/>
    <w:rsid w:val="00CD55F4"/>
    <w:rsid w:val="00CE6C81"/>
    <w:rsid w:val="00CF4A1F"/>
    <w:rsid w:val="00D0009F"/>
    <w:rsid w:val="00D0603F"/>
    <w:rsid w:val="00D060AF"/>
    <w:rsid w:val="00D10D4B"/>
    <w:rsid w:val="00D17190"/>
    <w:rsid w:val="00D25346"/>
    <w:rsid w:val="00D31604"/>
    <w:rsid w:val="00D61CD9"/>
    <w:rsid w:val="00D66FB7"/>
    <w:rsid w:val="00D67AEF"/>
    <w:rsid w:val="00D7415B"/>
    <w:rsid w:val="00D96206"/>
    <w:rsid w:val="00DA31EC"/>
    <w:rsid w:val="00DB22BF"/>
    <w:rsid w:val="00DB7D0F"/>
    <w:rsid w:val="00DC22D1"/>
    <w:rsid w:val="00DD6DF6"/>
    <w:rsid w:val="00DE083C"/>
    <w:rsid w:val="00DE66DE"/>
    <w:rsid w:val="00DF150E"/>
    <w:rsid w:val="00DF2ED5"/>
    <w:rsid w:val="00DF54D2"/>
    <w:rsid w:val="00DF6D39"/>
    <w:rsid w:val="00E11582"/>
    <w:rsid w:val="00E17B86"/>
    <w:rsid w:val="00E20D26"/>
    <w:rsid w:val="00E23443"/>
    <w:rsid w:val="00E310AF"/>
    <w:rsid w:val="00E32F1B"/>
    <w:rsid w:val="00E50216"/>
    <w:rsid w:val="00E6136D"/>
    <w:rsid w:val="00E66F47"/>
    <w:rsid w:val="00E86546"/>
    <w:rsid w:val="00E91A25"/>
    <w:rsid w:val="00E925A9"/>
    <w:rsid w:val="00E9388E"/>
    <w:rsid w:val="00E971D7"/>
    <w:rsid w:val="00EA3C3F"/>
    <w:rsid w:val="00EA4455"/>
    <w:rsid w:val="00EA53E0"/>
    <w:rsid w:val="00EB0C6A"/>
    <w:rsid w:val="00EB7EDF"/>
    <w:rsid w:val="00EC15EC"/>
    <w:rsid w:val="00EC46C9"/>
    <w:rsid w:val="00EF2F2E"/>
    <w:rsid w:val="00EF33DD"/>
    <w:rsid w:val="00EF7012"/>
    <w:rsid w:val="00F044FB"/>
    <w:rsid w:val="00F06DA0"/>
    <w:rsid w:val="00F14CCB"/>
    <w:rsid w:val="00F308CD"/>
    <w:rsid w:val="00F31429"/>
    <w:rsid w:val="00F32BB5"/>
    <w:rsid w:val="00F35302"/>
    <w:rsid w:val="00F37049"/>
    <w:rsid w:val="00F37AFD"/>
    <w:rsid w:val="00F4286E"/>
    <w:rsid w:val="00F44B1D"/>
    <w:rsid w:val="00F457D4"/>
    <w:rsid w:val="00F511D5"/>
    <w:rsid w:val="00F62489"/>
    <w:rsid w:val="00F62A25"/>
    <w:rsid w:val="00F97127"/>
    <w:rsid w:val="00FA07D4"/>
    <w:rsid w:val="00FB301D"/>
    <w:rsid w:val="00FB3090"/>
    <w:rsid w:val="00FB3124"/>
    <w:rsid w:val="00FC3512"/>
    <w:rsid w:val="00FC5785"/>
    <w:rsid w:val="00FE2DE8"/>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27</Pages>
  <Words>32724</Words>
  <Characters>18654</Characters>
  <Application>Microsoft Office Word</Application>
  <DocSecurity>0</DocSecurity>
  <Lines>155</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270</cp:revision>
  <cp:lastPrinted>2025-09-16T12:04:00Z</cp:lastPrinted>
  <dcterms:created xsi:type="dcterms:W3CDTF">2020-12-14T06:55:00Z</dcterms:created>
  <dcterms:modified xsi:type="dcterms:W3CDTF">2025-09-16T12:04:00Z</dcterms:modified>
</cp:coreProperties>
</file>